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C6" w:rsidRDefault="00FF79C6" w:rsidP="00FF79C6">
      <w:pPr>
        <w:jc w:val="center"/>
        <w:rPr>
          <w:b/>
        </w:rPr>
      </w:pPr>
      <w:r w:rsidRPr="00FF79C6">
        <w:rPr>
          <w:b/>
        </w:rPr>
        <w:t xml:space="preserve">RESOLUÇÃO CGE Nº </w:t>
      </w:r>
      <w:r w:rsidR="00B947A0">
        <w:rPr>
          <w:b/>
        </w:rPr>
        <w:t>1</w:t>
      </w:r>
      <w:r w:rsidRPr="00FF79C6">
        <w:rPr>
          <w:b/>
        </w:rPr>
        <w:t xml:space="preserve">2, DE </w:t>
      </w:r>
      <w:r w:rsidR="00B947A0">
        <w:rPr>
          <w:b/>
        </w:rPr>
        <w:t>17</w:t>
      </w:r>
      <w:r w:rsidRPr="00FF79C6">
        <w:rPr>
          <w:b/>
        </w:rPr>
        <w:t xml:space="preserve"> DE </w:t>
      </w:r>
      <w:r w:rsidR="00B947A0">
        <w:rPr>
          <w:b/>
        </w:rPr>
        <w:t>ABRIL</w:t>
      </w:r>
      <w:r w:rsidRPr="00FF79C6">
        <w:rPr>
          <w:b/>
        </w:rPr>
        <w:t xml:space="preserve"> DE 2019.</w:t>
      </w:r>
    </w:p>
    <w:p w:rsidR="00B947A0" w:rsidRDefault="00B947A0" w:rsidP="00FF79C6">
      <w:pPr>
        <w:jc w:val="center"/>
        <w:rPr>
          <w:b/>
        </w:rPr>
      </w:pPr>
    </w:p>
    <w:p w:rsidR="00B947A0" w:rsidRDefault="00B947A0" w:rsidP="00B947A0">
      <w:pPr>
        <w:jc w:val="both"/>
      </w:pPr>
      <w:r w:rsidRPr="00B947A0">
        <w:t xml:space="preserve">Dispõe sobre a Governança Participativa na Controladoria-Geral do Estado (CGE), sua composição e funcionamento. </w:t>
      </w:r>
    </w:p>
    <w:p w:rsidR="00B947A0" w:rsidRDefault="00B947A0" w:rsidP="00B947A0">
      <w:pPr>
        <w:jc w:val="both"/>
      </w:pPr>
    </w:p>
    <w:p w:rsidR="00502233" w:rsidRDefault="00B947A0" w:rsidP="00B947A0">
      <w:pPr>
        <w:jc w:val="both"/>
      </w:pPr>
      <w:r w:rsidRPr="00B947A0">
        <w:t>O CONTROLADOR-GERAL DO ESTADO, no uso das atribuições previstas no art. 48, §1º, inciso I</w:t>
      </w:r>
      <w:r>
        <w:t>V</w:t>
      </w:r>
      <w:r w:rsidRPr="00B947A0">
        <w:t xml:space="preserve">, da Lei 22 .257, de 27 de julho de 2016e art. 2º, inciso </w:t>
      </w:r>
      <w:r>
        <w:t>V</w:t>
      </w:r>
      <w:r w:rsidRPr="00B947A0">
        <w:t xml:space="preserve">III do Decreto 47 .139, de 24 de janeiro de 2017, com o objetivo de fomentar a participação democrática na tomada de decisões, de fortalecer a legitimidade dos instrumentos normativos e processos de trabalho, bem como de consolidar a aproximação entre o Órgão Central e as unidades Setoriais e Seccionais de Controle Interno, </w:t>
      </w:r>
    </w:p>
    <w:p w:rsidR="00502233" w:rsidRDefault="00502233" w:rsidP="00B947A0">
      <w:pPr>
        <w:jc w:val="both"/>
      </w:pPr>
    </w:p>
    <w:p w:rsidR="00502233" w:rsidRDefault="00B947A0" w:rsidP="00B947A0">
      <w:pPr>
        <w:jc w:val="both"/>
      </w:pPr>
      <w:r w:rsidRPr="00B947A0">
        <w:t>RESOL</w:t>
      </w:r>
      <w:r>
        <w:t>V</w:t>
      </w:r>
      <w:r w:rsidRPr="00B947A0">
        <w:t xml:space="preserve">E: </w:t>
      </w:r>
    </w:p>
    <w:p w:rsidR="00502233" w:rsidRDefault="00502233" w:rsidP="00B947A0">
      <w:pPr>
        <w:jc w:val="both"/>
      </w:pPr>
    </w:p>
    <w:p w:rsidR="00502233" w:rsidRDefault="00B947A0" w:rsidP="00B947A0">
      <w:pPr>
        <w:jc w:val="both"/>
      </w:pPr>
      <w:r w:rsidRPr="00B947A0">
        <w:t xml:space="preserve">Art.1º - Para os efeitos desta Resolução, considera-se: </w:t>
      </w:r>
    </w:p>
    <w:p w:rsidR="00502233" w:rsidRDefault="00B947A0" w:rsidP="00B947A0">
      <w:pPr>
        <w:jc w:val="both"/>
      </w:pPr>
      <w:r w:rsidRPr="00B947A0">
        <w:t xml:space="preserve">I - Governança: o conjunto de mecanismos de liderança, estratégia e controle postos em prática para avaliar, direcionar e monitorar a gestão da Controladoria-Geral (CGE), com vistas ao cumprimento da sua missão institucional. </w:t>
      </w:r>
    </w:p>
    <w:p w:rsidR="00502233" w:rsidRDefault="00B947A0" w:rsidP="00B947A0">
      <w:pPr>
        <w:jc w:val="both"/>
      </w:pPr>
      <w:r w:rsidRPr="00B947A0">
        <w:t>II – valor: produtos e resultados gerados, preservados ou entregues pelas atividades da CGE que representem: a) respostas efetivas e úteis às necessidades ou às dem</w:t>
      </w:r>
      <w:bookmarkStart w:id="0" w:name="_GoBack"/>
      <w:bookmarkEnd w:id="0"/>
      <w:r w:rsidRPr="00B947A0">
        <w:t xml:space="preserve">andas da CGE e as de interesse público; b) impacto positivo observado na gestão da CGE, que favoreça a eficiência, eficácia e padronização de processos de negócio. </w:t>
      </w:r>
    </w:p>
    <w:p w:rsidR="00502233" w:rsidRDefault="00502233" w:rsidP="00B947A0">
      <w:pPr>
        <w:jc w:val="both"/>
      </w:pPr>
    </w:p>
    <w:p w:rsidR="00502233" w:rsidRDefault="00B947A0" w:rsidP="00B947A0">
      <w:pPr>
        <w:jc w:val="both"/>
      </w:pPr>
      <w:r w:rsidRPr="00B947A0">
        <w:t xml:space="preserve">Art. 2º - São diretrizes de governança da CGE: </w:t>
      </w:r>
    </w:p>
    <w:p w:rsidR="00502233" w:rsidRDefault="00B947A0" w:rsidP="00B947A0">
      <w:pPr>
        <w:jc w:val="both"/>
      </w:pPr>
      <w:r w:rsidRPr="00B947A0">
        <w:t xml:space="preserve">I - direcionar ações para a busca de resultados, encontrando soluções tempestivas e inovadoras para lidar com a limitação de recursos e com as mudanças de prioridades; </w:t>
      </w:r>
    </w:p>
    <w:p w:rsidR="00502233" w:rsidRDefault="00B947A0" w:rsidP="00B947A0">
      <w:pPr>
        <w:jc w:val="both"/>
      </w:pPr>
      <w:r w:rsidRPr="00B947A0">
        <w:t xml:space="preserve">II - promover a simplificação administrativa, a modernização da gestão da CGE, que contempla a interface com as unidades Setoriais e Seccionais de Controle Interno, </w:t>
      </w:r>
    </w:p>
    <w:p w:rsidR="00502233" w:rsidRDefault="00B947A0" w:rsidP="00B947A0">
      <w:pPr>
        <w:jc w:val="both"/>
      </w:pPr>
      <w:r w:rsidRPr="00B947A0">
        <w:t xml:space="preserve">III – promover a integração dos serviços públicos prestados pela CGE, especialmente aqueles prestados por meio eletrônico; </w:t>
      </w:r>
    </w:p>
    <w:p w:rsidR="00502233" w:rsidRDefault="00B947A0" w:rsidP="00B947A0">
      <w:pPr>
        <w:jc w:val="both"/>
      </w:pPr>
      <w:r w:rsidRPr="00B947A0">
        <w:t>I</w:t>
      </w:r>
      <w:r>
        <w:t>V</w:t>
      </w:r>
      <w:r w:rsidRPr="00B947A0">
        <w:t xml:space="preserve"> - monitorar o desempenho e avaliar a concepção, a implementação e os resultados das políticas e das ações prioritárias da CGE para assegurar que as diretrizes estratégicas sejam observadas;</w:t>
      </w:r>
    </w:p>
    <w:p w:rsidR="00502233" w:rsidRDefault="00502233" w:rsidP="00B947A0">
      <w:pPr>
        <w:jc w:val="both"/>
      </w:pPr>
      <w:r>
        <w:t>V</w:t>
      </w:r>
      <w:r w:rsidR="00B947A0" w:rsidRPr="00B947A0">
        <w:t xml:space="preserve"> - articular instituições e coordenar processos para melhorar a integração entre a Auditoria-Geral, Corregedoria-Geral, Subcontroladoria de Governo Aberto e assessorias com vistas a gerar, preservar e entregar valor; </w:t>
      </w:r>
    </w:p>
    <w:p w:rsidR="00502233" w:rsidRDefault="00B947A0" w:rsidP="00B947A0">
      <w:pPr>
        <w:jc w:val="both"/>
      </w:pPr>
      <w:r>
        <w:t>V</w:t>
      </w:r>
      <w:r w:rsidRPr="00B947A0">
        <w:t xml:space="preserve">I - incorporar padrões elevados de conduta pela alta administração para orientar o comportamento dos demais agentes públicos da CGE; </w:t>
      </w:r>
    </w:p>
    <w:p w:rsidR="00502233" w:rsidRDefault="00B947A0" w:rsidP="00B947A0">
      <w:pPr>
        <w:jc w:val="both"/>
      </w:pPr>
      <w:r>
        <w:t>V</w:t>
      </w:r>
      <w:r w:rsidRPr="00B947A0">
        <w:t xml:space="preserve">II - implementar controles internos fundamentados na gestão de risco, que privilegiará ações estratégicas de prevenção antes de processos sancionadores; </w:t>
      </w:r>
    </w:p>
    <w:p w:rsidR="00502233" w:rsidRDefault="00B947A0" w:rsidP="00B947A0">
      <w:pPr>
        <w:jc w:val="both"/>
      </w:pPr>
      <w:r>
        <w:t>V</w:t>
      </w:r>
      <w:r w:rsidRPr="00B947A0">
        <w:t xml:space="preserve">III - avaliar as propostas de criação, expansão ou aperfeiçoamento de políticas públicas da CGE e aferir, sempre que possível, seus custos e benefícios financeiros e não financeiros; </w:t>
      </w:r>
    </w:p>
    <w:p w:rsidR="00502233" w:rsidRDefault="00B947A0" w:rsidP="00B947A0">
      <w:pPr>
        <w:jc w:val="both"/>
      </w:pPr>
      <w:r w:rsidRPr="00B947A0">
        <w:t>I</w:t>
      </w:r>
      <w:r>
        <w:t>X</w:t>
      </w:r>
      <w:r w:rsidRPr="00B947A0">
        <w:t xml:space="preserve"> - manter processo decisório orientado pelas evidências, pela conformidade legal, pela qualidade regulatória, pela desburocratização e pelo apoio à participação dos servidores e à participação social; </w:t>
      </w:r>
    </w:p>
    <w:p w:rsidR="00502233" w:rsidRDefault="00502233" w:rsidP="00B947A0">
      <w:pPr>
        <w:jc w:val="both"/>
      </w:pPr>
      <w:r>
        <w:t>X</w:t>
      </w:r>
      <w:r w:rsidR="00B947A0" w:rsidRPr="00B947A0">
        <w:t xml:space="preserve"> - editar e revisar atos normativos, pautando-se pelas boas práticas regulatórias e pela legitimidade, estabilidade e coerência do ordenamento jurídico e realizando consultas públicas sempre que conveniente; </w:t>
      </w:r>
    </w:p>
    <w:p w:rsidR="00502233" w:rsidRDefault="00B947A0" w:rsidP="00B947A0">
      <w:pPr>
        <w:jc w:val="both"/>
      </w:pPr>
      <w:r w:rsidRPr="00B947A0">
        <w:t>XI</w:t>
      </w:r>
      <w:r>
        <w:t xml:space="preserve"> </w:t>
      </w:r>
      <w:r w:rsidRPr="00B947A0">
        <w:t xml:space="preserve">- definir formalmente as funções, as competências e as responsabilidades da estrutura da CGE; </w:t>
      </w:r>
    </w:p>
    <w:p w:rsidR="00502233" w:rsidRDefault="00B947A0" w:rsidP="00B947A0">
      <w:pPr>
        <w:jc w:val="both"/>
      </w:pPr>
      <w:r>
        <w:t>X</w:t>
      </w:r>
      <w:r w:rsidRPr="00B947A0">
        <w:t>II - promover a comunicação aberta, voluntária e transparente das atividades e dos resultados da CGE, de maneira a fortalecer o acesso público à informação.</w:t>
      </w:r>
    </w:p>
    <w:p w:rsidR="00502233" w:rsidRDefault="00B947A0" w:rsidP="00B947A0">
      <w:pPr>
        <w:jc w:val="both"/>
      </w:pPr>
      <w:r w:rsidRPr="00B947A0">
        <w:t xml:space="preserve"> </w:t>
      </w:r>
    </w:p>
    <w:p w:rsidR="00502233" w:rsidRDefault="00B947A0" w:rsidP="00EE7165">
      <w:pPr>
        <w:jc w:val="center"/>
      </w:pPr>
      <w:r w:rsidRPr="00B947A0">
        <w:t>CAPÍT</w:t>
      </w:r>
      <w:r>
        <w:t>U</w:t>
      </w:r>
      <w:r w:rsidRPr="00B947A0">
        <w:t>LO I – DOS INSTR</w:t>
      </w:r>
      <w:r>
        <w:t>U</w:t>
      </w:r>
      <w:r w:rsidRPr="00B947A0">
        <w:t>MENTOS DE GO</w:t>
      </w:r>
      <w:r>
        <w:t>V</w:t>
      </w:r>
      <w:r w:rsidRPr="00B947A0">
        <w:t>ERNANÇA PARTICIPATI</w:t>
      </w:r>
      <w:r>
        <w:t>V</w:t>
      </w:r>
      <w:r w:rsidRPr="00B947A0">
        <w:t>A</w:t>
      </w:r>
    </w:p>
    <w:p w:rsidR="00502233" w:rsidRDefault="00502233" w:rsidP="00B947A0">
      <w:pPr>
        <w:jc w:val="both"/>
      </w:pPr>
    </w:p>
    <w:p w:rsidR="00502233" w:rsidRDefault="00B947A0" w:rsidP="00B947A0">
      <w:pPr>
        <w:jc w:val="both"/>
      </w:pPr>
      <w:r w:rsidRPr="00B947A0">
        <w:t xml:space="preserve">Art. 3º - São instrumentos da Governança Participativa: </w:t>
      </w:r>
    </w:p>
    <w:p w:rsidR="00502233" w:rsidRDefault="00B947A0" w:rsidP="00B947A0">
      <w:pPr>
        <w:jc w:val="both"/>
      </w:pPr>
      <w:r w:rsidRPr="00B947A0">
        <w:t xml:space="preserve">I – Comitês Temáticos; </w:t>
      </w:r>
    </w:p>
    <w:p w:rsidR="00502233" w:rsidRDefault="00B947A0" w:rsidP="00B947A0">
      <w:pPr>
        <w:jc w:val="both"/>
      </w:pPr>
      <w:r w:rsidRPr="00B947A0">
        <w:t xml:space="preserve">II - Comitê de Governança, Integridade, Riscos e Controles (CGIRC); </w:t>
      </w:r>
    </w:p>
    <w:p w:rsidR="00502233" w:rsidRDefault="00B947A0" w:rsidP="00B947A0">
      <w:pPr>
        <w:jc w:val="both"/>
      </w:pPr>
      <w:r w:rsidRPr="00B947A0">
        <w:t xml:space="preserve">III - Consultas Abertas; </w:t>
      </w:r>
    </w:p>
    <w:p w:rsidR="00502233" w:rsidRDefault="00B947A0" w:rsidP="00B947A0">
      <w:pPr>
        <w:jc w:val="both"/>
      </w:pPr>
      <w:r w:rsidRPr="00B947A0">
        <w:t>I</w:t>
      </w:r>
      <w:r>
        <w:t>V</w:t>
      </w:r>
      <w:r w:rsidRPr="00B947A0">
        <w:t xml:space="preserve"> - Comitê Estratégico de Governança (CEG). </w:t>
      </w:r>
    </w:p>
    <w:p w:rsidR="00502233" w:rsidRDefault="00502233" w:rsidP="00B947A0">
      <w:pPr>
        <w:jc w:val="both"/>
      </w:pPr>
    </w:p>
    <w:p w:rsidR="00502233" w:rsidRDefault="00B947A0" w:rsidP="00B947A0">
      <w:pPr>
        <w:jc w:val="both"/>
      </w:pPr>
      <w:r w:rsidRPr="00B947A0">
        <w:t xml:space="preserve">§1º - Os Comitês temáticos terão seu objeto e composição determinados por Resolução específica e poderão valer-se de especialistas para auxilia-los nos trabalhos designados. </w:t>
      </w:r>
    </w:p>
    <w:p w:rsidR="00502233" w:rsidRDefault="00502233" w:rsidP="00B947A0">
      <w:pPr>
        <w:jc w:val="both"/>
      </w:pPr>
    </w:p>
    <w:p w:rsidR="00B947A0" w:rsidRDefault="00B947A0" w:rsidP="00B947A0">
      <w:pPr>
        <w:jc w:val="both"/>
      </w:pPr>
      <w:r w:rsidRPr="00B947A0">
        <w:t>§2º - O Comitê de Governança, Integridade, Riscos e Controles (CGIRC) tem sua composição e funcionamento disciplinados pela Resolução CGE nº 041, de 13 de novembro de 2018 e Resolução CGE nº 10, de 15 de março de 2019.</w:t>
      </w:r>
    </w:p>
    <w:p w:rsidR="00502233" w:rsidRPr="00B947A0" w:rsidRDefault="00502233" w:rsidP="00B947A0">
      <w:pPr>
        <w:jc w:val="both"/>
      </w:pPr>
    </w:p>
    <w:p w:rsidR="00502233" w:rsidRDefault="00B947A0" w:rsidP="00B947A0">
      <w:pPr>
        <w:jc w:val="both"/>
      </w:pPr>
      <w:r w:rsidRPr="00B947A0">
        <w:t>Seção I – Das Consultas Abertas</w:t>
      </w:r>
    </w:p>
    <w:p w:rsidR="00502233" w:rsidRDefault="00502233" w:rsidP="00B947A0">
      <w:pPr>
        <w:jc w:val="both"/>
      </w:pPr>
    </w:p>
    <w:p w:rsidR="00EE7165" w:rsidRDefault="00B947A0" w:rsidP="00B947A0">
      <w:pPr>
        <w:jc w:val="both"/>
      </w:pPr>
      <w:r w:rsidRPr="00B947A0">
        <w:t xml:space="preserve">Art. 4º - As Consultas Abertas destinam-se à participação dos agentes vinculados à CGE, a saber, servidores em exercício no Órgão Central e nas unidades Setoriais e Seccionais, e funcionam como instâncias opinativas de proposições internas, viabilizando a construção horizontal, colaborativa e mais legítima de documentos estratégicos.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 w:rsidRPr="00B947A0">
        <w:t>Parágrafo único -</w:t>
      </w:r>
      <w:r w:rsidR="00EE7165">
        <w:t xml:space="preserve"> </w:t>
      </w:r>
      <w:r w:rsidRPr="00B947A0">
        <w:t xml:space="preserve">A realização de consultas abertas ocorrerá sob demanda do Auditor-Geral, Corregedor-Geral, Subcontrolador de Governo Aberto ou Chefe de Gabinete.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 w:rsidRPr="00B947A0">
        <w:t>Seção II – Do Comitê Estratégico de Governança (CEG)</w:t>
      </w:r>
    </w:p>
    <w:p w:rsidR="00EE7165" w:rsidRDefault="00B947A0" w:rsidP="00B947A0">
      <w:pPr>
        <w:jc w:val="both"/>
      </w:pPr>
      <w:r w:rsidRPr="00B947A0">
        <w:t xml:space="preserve"> </w:t>
      </w:r>
    </w:p>
    <w:p w:rsidR="00EE7165" w:rsidRDefault="00B947A0" w:rsidP="00B947A0">
      <w:pPr>
        <w:jc w:val="both"/>
      </w:pPr>
      <w:r w:rsidRPr="00B947A0">
        <w:t>Art. 5º - Fica criado o Comitê Estratégico de Governança (CEG), instância de governança participativa da Controladoria-Geral do Estado de Minas Gerais.</w:t>
      </w:r>
    </w:p>
    <w:p w:rsidR="00EE7165" w:rsidRDefault="00B947A0" w:rsidP="00B947A0">
      <w:pPr>
        <w:jc w:val="both"/>
      </w:pPr>
      <w:r w:rsidRPr="00B947A0">
        <w:t xml:space="preserve"> </w:t>
      </w:r>
    </w:p>
    <w:p w:rsidR="00EE7165" w:rsidRDefault="00B947A0" w:rsidP="00B947A0">
      <w:pPr>
        <w:jc w:val="both"/>
      </w:pPr>
      <w:r w:rsidRPr="00B947A0">
        <w:t xml:space="preserve">Art. 6º - O CEG é instância de caráter consultivo, que tem por objetivo assessorar o Controlador-Geral em matérias prioritárias e estratégicas do órgão, competindo-lhe, dentre outras atribuições: </w:t>
      </w:r>
    </w:p>
    <w:p w:rsidR="00EE7165" w:rsidRDefault="00B947A0" w:rsidP="00B947A0">
      <w:pPr>
        <w:jc w:val="both"/>
      </w:pPr>
      <w:r w:rsidRPr="00B947A0">
        <w:t xml:space="preserve">I - monitorar e avaliar o Planejamento Estratégico da CGE; </w:t>
      </w:r>
    </w:p>
    <w:p w:rsidR="00EE7165" w:rsidRDefault="00B947A0" w:rsidP="00B947A0">
      <w:pPr>
        <w:jc w:val="both"/>
      </w:pPr>
      <w:r w:rsidRPr="00B947A0">
        <w:t xml:space="preserve">II - estabelecer diretrizes e realizar as priorizações para as ações estratégicas da CGE, alinhadas à missão e aos objetivos estratégicos da CGE; </w:t>
      </w:r>
    </w:p>
    <w:p w:rsidR="00EE7165" w:rsidRDefault="00B947A0" w:rsidP="00B947A0">
      <w:pPr>
        <w:jc w:val="both"/>
      </w:pPr>
      <w:r w:rsidRPr="00B947A0">
        <w:t>III - acompanhar a execução das ações estratégicas da CGE e opinar sobre seu cancelamento ou suspensão; I</w:t>
      </w:r>
      <w:r w:rsidR="00502233">
        <w:t>V</w:t>
      </w:r>
      <w:r w:rsidRPr="00B947A0">
        <w:t xml:space="preserve"> – opinar, mediante demanda do Controlador-Geral, sobre a construção de entendimentos institucionais relacionados às atividades de auditoria, correição, transparência e integridade; </w:t>
      </w:r>
    </w:p>
    <w:p w:rsidR="00EE7165" w:rsidRDefault="00EE7165" w:rsidP="00B947A0">
      <w:pPr>
        <w:jc w:val="both"/>
      </w:pPr>
      <w:r>
        <w:t>V</w:t>
      </w:r>
      <w:r w:rsidR="00B947A0" w:rsidRPr="00B947A0">
        <w:t xml:space="preserve"> - alinhar entendimentos sobre temas transversais; </w:t>
      </w:r>
    </w:p>
    <w:p w:rsidR="00EE7165" w:rsidRDefault="00502233" w:rsidP="00B947A0">
      <w:pPr>
        <w:jc w:val="both"/>
      </w:pPr>
      <w:r>
        <w:t>V</w:t>
      </w:r>
      <w:r w:rsidR="00B947A0" w:rsidRPr="00B947A0">
        <w:t xml:space="preserve">I - subsidiar, mediante demanda de qualquer interessado, a escolha de membros de comissões e de grupos de trabalho que tratem de temas sensíveis ou estratégicos; </w:t>
      </w:r>
    </w:p>
    <w:p w:rsidR="00EE7165" w:rsidRDefault="00502233" w:rsidP="00B947A0">
      <w:pPr>
        <w:jc w:val="both"/>
      </w:pPr>
      <w:r>
        <w:t>V</w:t>
      </w:r>
      <w:r w:rsidR="00B947A0" w:rsidRPr="00B947A0">
        <w:t xml:space="preserve">II – manifestar-se em casos de dúvidas oriundas das unidades Setoriais e Seccionais, mediante provocação do Auditor-Geral, do Corregedor-Geral ou do Subcontrolador de Governo Aberto; </w:t>
      </w:r>
    </w:p>
    <w:p w:rsidR="00EE7165" w:rsidRDefault="00502233" w:rsidP="00B947A0">
      <w:pPr>
        <w:jc w:val="both"/>
      </w:pPr>
      <w:r>
        <w:t>V</w:t>
      </w:r>
      <w:r w:rsidR="00B947A0" w:rsidRPr="00B947A0">
        <w:t xml:space="preserve">III - debater sobre questões gerenciais e viabilizar o intercâmbio de boas práticas de gestão no âmbito da CGE; </w:t>
      </w:r>
    </w:p>
    <w:p w:rsidR="00EE7165" w:rsidRDefault="00B947A0" w:rsidP="00B947A0">
      <w:pPr>
        <w:jc w:val="both"/>
      </w:pPr>
      <w:r w:rsidRPr="00B947A0">
        <w:t>I</w:t>
      </w:r>
      <w:r w:rsidR="00502233">
        <w:t>X</w:t>
      </w:r>
      <w:r w:rsidRPr="00B947A0">
        <w:t xml:space="preserve"> - articular-se com outras instituições e colegiados, mediante consulta prévia ao Controlador-Geral, em prol do interesse público; x - exercer outras atividades correlatas . Parágrafo único - O Controlador-Geral poderá, justificadamente, adotar, modificar ou recusar os entendimentos emitidos pelo CEG.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 w:rsidRPr="00B947A0">
        <w:t>Art. 7º - Os membros do CEG, de ofício ou mediante provocação, poderão solicitar ao Controlador-Geral a revisão de entendimentos institucionais criados anteriormente à sua instituição, a fim de compatibiliz</w:t>
      </w:r>
      <w:r w:rsidR="00502233">
        <w:t>á-</w:t>
      </w:r>
      <w:r w:rsidRPr="00B947A0">
        <w:t xml:space="preserve">los às novas diretrizes do Órgão Central de Controle Interno, devendo realizar manifestação prévia expondo os motivos da alteração, bem como a sua compatibilidade com o interesse público.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 w:rsidRPr="00B947A0">
        <w:t xml:space="preserve">Art. 8º - O CEG será composto por: </w:t>
      </w:r>
    </w:p>
    <w:p w:rsidR="00EE7165" w:rsidRDefault="00B947A0" w:rsidP="00B947A0">
      <w:pPr>
        <w:jc w:val="both"/>
      </w:pPr>
      <w:r w:rsidRPr="00B947A0">
        <w:t xml:space="preserve">I – Controlador-Geral, que o presidirá; </w:t>
      </w:r>
    </w:p>
    <w:p w:rsidR="00EE7165" w:rsidRDefault="00B947A0" w:rsidP="00B947A0">
      <w:pPr>
        <w:jc w:val="both"/>
      </w:pPr>
      <w:r w:rsidRPr="00B947A0">
        <w:t xml:space="preserve">II - Auditor-Geral; </w:t>
      </w:r>
    </w:p>
    <w:p w:rsidR="00EE7165" w:rsidRDefault="00B947A0" w:rsidP="00B947A0">
      <w:pPr>
        <w:jc w:val="both"/>
      </w:pPr>
      <w:r w:rsidRPr="00B947A0">
        <w:t xml:space="preserve">III - Corregedor-Geral; </w:t>
      </w:r>
    </w:p>
    <w:p w:rsidR="00EE7165" w:rsidRDefault="00B947A0" w:rsidP="00B947A0">
      <w:pPr>
        <w:jc w:val="both"/>
      </w:pPr>
      <w:r w:rsidRPr="00B947A0">
        <w:t>I</w:t>
      </w:r>
      <w:r w:rsidR="00502233">
        <w:t>V</w:t>
      </w:r>
      <w:r w:rsidRPr="00B947A0">
        <w:t xml:space="preserve"> - Subcontrolador de Governo Aberto; </w:t>
      </w:r>
    </w:p>
    <w:p w:rsidR="00EE7165" w:rsidRDefault="00EE7165" w:rsidP="00B947A0">
      <w:pPr>
        <w:jc w:val="both"/>
      </w:pPr>
      <w:r>
        <w:t>V</w:t>
      </w:r>
      <w:r w:rsidR="00B947A0" w:rsidRPr="00B947A0">
        <w:t xml:space="preserve"> - representante das unidades Setoriais e Seccionais de Controle Interno; </w:t>
      </w:r>
    </w:p>
    <w:p w:rsidR="00EE7165" w:rsidRDefault="00502233" w:rsidP="00B947A0">
      <w:pPr>
        <w:jc w:val="both"/>
      </w:pPr>
      <w:r>
        <w:t>V</w:t>
      </w:r>
      <w:r w:rsidR="00B947A0" w:rsidRPr="00B947A0">
        <w:t xml:space="preserve">I- representante de servidores em exercício no Órgão Central. </w:t>
      </w:r>
    </w:p>
    <w:p w:rsidR="00EE7165" w:rsidRDefault="00B947A0" w:rsidP="00B947A0">
      <w:pPr>
        <w:jc w:val="both"/>
      </w:pPr>
      <w:r w:rsidRPr="00B947A0">
        <w:lastRenderedPageBreak/>
        <w:t>Parágrafo único -</w:t>
      </w:r>
      <w:r w:rsidR="00EE7165">
        <w:t xml:space="preserve"> </w:t>
      </w:r>
      <w:r w:rsidRPr="00B947A0">
        <w:t xml:space="preserve">Poderão ser convocados, sem direito à voto, outros dirigentes e servidores das unidades organizacionais da CGE para participar de reuniões do Comitê.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 w:rsidRPr="00B947A0">
        <w:t xml:space="preserve">Art. 9º - Os representantes constantes nos incisos </w:t>
      </w:r>
      <w:r w:rsidR="00502233">
        <w:t>V</w:t>
      </w:r>
      <w:r w:rsidRPr="00B947A0">
        <w:t xml:space="preserve"> e </w:t>
      </w:r>
      <w:r w:rsidR="00502233">
        <w:t>V</w:t>
      </w:r>
      <w:r w:rsidRPr="00B947A0">
        <w:t xml:space="preserve">I do art. anterior serão eleitos da seguinte forma: </w:t>
      </w:r>
    </w:p>
    <w:p w:rsidR="00EE7165" w:rsidRDefault="00B947A0" w:rsidP="00B947A0">
      <w:pPr>
        <w:jc w:val="both"/>
      </w:pPr>
      <w:r w:rsidRPr="00B947A0">
        <w:t xml:space="preserve">I - representante das unidades Setoriais e Seccionais de Controle Interno: </w:t>
      </w:r>
    </w:p>
    <w:p w:rsidR="00EE7165" w:rsidRDefault="00B947A0" w:rsidP="00B947A0">
      <w:pPr>
        <w:jc w:val="both"/>
      </w:pPr>
      <w:r w:rsidRPr="00B947A0">
        <w:t xml:space="preserve">a) definição dos candidatos: autoindicação (via formulário eletrônico); </w:t>
      </w:r>
    </w:p>
    <w:p w:rsidR="00EE7165" w:rsidRDefault="00B947A0" w:rsidP="00B947A0">
      <w:pPr>
        <w:jc w:val="both"/>
      </w:pPr>
      <w:r w:rsidRPr="00B947A0">
        <w:t xml:space="preserve">b) eleição pelos pares (via formulário eletrônico) de titular (1º mais votado) e suplente (2º mais votado). </w:t>
      </w:r>
    </w:p>
    <w:p w:rsidR="00B947A0" w:rsidRDefault="00B947A0" w:rsidP="00B947A0">
      <w:pPr>
        <w:jc w:val="both"/>
      </w:pPr>
      <w:r w:rsidRPr="00B947A0">
        <w:t>II - representante de servidores em exercício no Órgão Central:</w:t>
      </w:r>
    </w:p>
    <w:p w:rsidR="00EE7165" w:rsidRDefault="00B947A0" w:rsidP="00B947A0">
      <w:pPr>
        <w:jc w:val="both"/>
      </w:pPr>
      <w:r>
        <w:t xml:space="preserve">a) definição dos candidatos: autoindicação (via formulário eletrônico); </w:t>
      </w:r>
    </w:p>
    <w:p w:rsidR="00EE7165" w:rsidRDefault="00B947A0" w:rsidP="00B947A0">
      <w:pPr>
        <w:jc w:val="both"/>
      </w:pPr>
      <w:r>
        <w:t xml:space="preserve">b) eleição pelos pares (via formulário eletrônico) de titular (1º mais votado) e suplente (2º mais votado). </w:t>
      </w:r>
    </w:p>
    <w:p w:rsidR="00EE7165" w:rsidRDefault="00B947A0" w:rsidP="00B947A0">
      <w:pPr>
        <w:jc w:val="both"/>
      </w:pPr>
      <w:r>
        <w:t>§ 1º - Os representantes constantes nos incisos I, II, III e I</w:t>
      </w:r>
      <w:r w:rsidR="00EE7165">
        <w:t>V</w:t>
      </w:r>
      <w:r>
        <w:t xml:space="preserve"> do art. 8º terão assento permanente, o qual é vinculado ao respectivo cargo. </w:t>
      </w:r>
    </w:p>
    <w:p w:rsidR="00EE7165" w:rsidRDefault="00B947A0" w:rsidP="00B947A0">
      <w:pPr>
        <w:jc w:val="both"/>
      </w:pPr>
      <w:r>
        <w:t xml:space="preserve">§ 2º - Na eleição dos representantes, por meio de formulário eletrônico, cada servidor terá direito a 1 voto; </w:t>
      </w:r>
    </w:p>
    <w:p w:rsidR="00EE7165" w:rsidRDefault="00B947A0" w:rsidP="00B947A0">
      <w:pPr>
        <w:jc w:val="both"/>
      </w:pPr>
      <w:r>
        <w:t xml:space="preserve">§ 3º - O candidato mais votado pelos pares será o titular da sua categoria e o segundo colocado será o suplente; </w:t>
      </w:r>
    </w:p>
    <w:p w:rsidR="00EE7165" w:rsidRDefault="00B947A0" w:rsidP="00B947A0">
      <w:pPr>
        <w:jc w:val="both"/>
      </w:pPr>
      <w:r>
        <w:t xml:space="preserve">§ 4º - Em caso de empate, assumirá aquele que tiver maior tempo de exercício na Controladoria-Geral do Estado ou nas unidades Setoriais e Seccionais de Controle Interno;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>
        <w:t xml:space="preserve">Art. 10 - Nas reuniões ou para assinaturas de documentos, os membros titulares em seus impedimentos ou ausências serão substituídos: </w:t>
      </w:r>
    </w:p>
    <w:p w:rsidR="00EE7165" w:rsidRDefault="00B947A0" w:rsidP="00B947A0">
      <w:pPr>
        <w:jc w:val="both"/>
      </w:pPr>
      <w:r>
        <w:t>I – os representantes constantes nos incisos I, II, III e I</w:t>
      </w:r>
      <w:r w:rsidR="00EE7165">
        <w:t>V</w:t>
      </w:r>
      <w:r>
        <w:t xml:space="preserve"> do art. 8º, conforme indicação dos mesmos: </w:t>
      </w:r>
    </w:p>
    <w:p w:rsidR="00EE7165" w:rsidRDefault="00B947A0" w:rsidP="00B947A0">
      <w:pPr>
        <w:jc w:val="both"/>
      </w:pPr>
      <w:r>
        <w:t xml:space="preserve">II - os representantes constantes nos incisos </w:t>
      </w:r>
      <w:r w:rsidR="00EE7165">
        <w:t>V</w:t>
      </w:r>
      <w:r>
        <w:t xml:space="preserve">I e v do art. 8º pelos seus suplentes.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>
        <w:t xml:space="preserve">Art. 11 - A Secretaria-Executiva do CEG será exercida pela Chefia de Gabinete do Controlador-Geral, cujas atribuições e regras de funcionamento serão detalhadas em Regimento Interno, a ser elaborado pelo próprio Comitê.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>
        <w:t xml:space="preserve">Art. 12 - As reuniões do CEG somente se instalarão com a presença da maioria simples dos membros e ocorrerão ordinariamente a cada trimestre e extraordinariamente todas as vezes em que for deliberado pelo Presidente do Comitê.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>
        <w:t xml:space="preserve">Art. 13 - O quórum mínimo para deliberação será de 2/3 (dois terços) dos membros do CEG. </w:t>
      </w:r>
    </w:p>
    <w:p w:rsidR="00EE7165" w:rsidRDefault="00B947A0" w:rsidP="00B947A0">
      <w:pPr>
        <w:jc w:val="both"/>
      </w:pPr>
      <w:r>
        <w:t xml:space="preserve">Art. 14 - As decisões do Comitê serão tomadas por maioria simples, cabendo ao seu presidente: </w:t>
      </w:r>
    </w:p>
    <w:p w:rsidR="00EE7165" w:rsidRDefault="00B947A0" w:rsidP="00B947A0">
      <w:pPr>
        <w:jc w:val="both"/>
      </w:pPr>
      <w:r>
        <w:t xml:space="preserve">I - em caso de empate, o voto de qualidade; </w:t>
      </w:r>
    </w:p>
    <w:p w:rsidR="00EE7165" w:rsidRDefault="00B947A0" w:rsidP="00B947A0">
      <w:pPr>
        <w:jc w:val="both"/>
      </w:pPr>
      <w:r>
        <w:t>II – adotar, modificar ou recusar a proposição, conforme previsto no parágrafo único do art.</w:t>
      </w:r>
      <w:r w:rsidR="00EE7165">
        <w:t xml:space="preserve"> </w:t>
      </w:r>
      <w:r>
        <w:t xml:space="preserve">6º. </w:t>
      </w:r>
    </w:p>
    <w:p w:rsidR="00EE7165" w:rsidRDefault="00EE7165" w:rsidP="00B947A0">
      <w:pPr>
        <w:jc w:val="both"/>
      </w:pPr>
    </w:p>
    <w:p w:rsidR="00EE7165" w:rsidRDefault="00B947A0" w:rsidP="00EE7165">
      <w:pPr>
        <w:jc w:val="center"/>
      </w:pPr>
      <w:r>
        <w:t>CAPÍT</w:t>
      </w:r>
      <w:r w:rsidR="00EE7165">
        <w:t>U</w:t>
      </w:r>
      <w:r>
        <w:t>LO II – DAS DISPOSIÇÕES FINAIS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>
        <w:t>Art. 15 - Ficam revogadas as resoluções</w:t>
      </w:r>
      <w:r w:rsidR="00EE7165">
        <w:t xml:space="preserve"> </w:t>
      </w:r>
      <w:r>
        <w:t>CGE nº 007 de 21 de março de 2017 (institui a Governança Participativa no âmbito da Controladoria</w:t>
      </w:r>
      <w:r w:rsidR="00EE7165">
        <w:t>-</w:t>
      </w:r>
      <w:r>
        <w:t xml:space="preserve">Geral do Estado e dispõe sobre a composição, funcionamento e atribuições do Colegiado e do Comitê de Representação das unidades Setoriais e Seccionais de Controle Interno); CGE nº 26, de 15 de setembro de 2017 (institui o Regimento Interno do Comitê de Representação das unidades Setoriais e Seccionais de Controle Interno);CGE nº 05 de 02 de março de 2018 (aprova o Regimento Interno do Colegiado da CGE) e CGE nº 16, de 14 de julho de 2018 (designa membros para a composição do Colegiado da CGE e dá outras providências) . </w:t>
      </w:r>
    </w:p>
    <w:p w:rsidR="00EE7165" w:rsidRDefault="00EE7165" w:rsidP="00B947A0">
      <w:pPr>
        <w:jc w:val="both"/>
      </w:pPr>
    </w:p>
    <w:p w:rsidR="00EE7165" w:rsidRDefault="00B947A0" w:rsidP="00B947A0">
      <w:pPr>
        <w:jc w:val="both"/>
      </w:pPr>
      <w:r>
        <w:t xml:space="preserve">Art. 16 - Esta Resolução entra em vigor na data de sua publicação. </w:t>
      </w:r>
    </w:p>
    <w:p w:rsidR="00EE7165" w:rsidRDefault="00EE7165" w:rsidP="00B947A0">
      <w:pPr>
        <w:jc w:val="both"/>
      </w:pPr>
    </w:p>
    <w:p w:rsidR="00EE7165" w:rsidRDefault="00B947A0" w:rsidP="00EE7165">
      <w:pPr>
        <w:jc w:val="center"/>
      </w:pPr>
      <w:r>
        <w:t>Rodrigo Fontenelle de Araújo Miranda</w:t>
      </w:r>
    </w:p>
    <w:p w:rsidR="00B947A0" w:rsidRPr="00B947A0" w:rsidRDefault="00B947A0" w:rsidP="00EE7165">
      <w:pPr>
        <w:jc w:val="center"/>
      </w:pPr>
      <w:r>
        <w:t>Controlador-Geral do Estado</w:t>
      </w:r>
    </w:p>
    <w:p w:rsidR="00FF79C6" w:rsidRDefault="00FF79C6" w:rsidP="00AD2C0D">
      <w:pPr>
        <w:jc w:val="both"/>
      </w:pPr>
    </w:p>
    <w:p w:rsidR="00EB21AE" w:rsidRDefault="00EB21AE" w:rsidP="00AD2C0D">
      <w:pPr>
        <w:jc w:val="both"/>
      </w:pPr>
    </w:p>
    <w:p w:rsidR="00EB21AE" w:rsidRPr="00EB21AE" w:rsidRDefault="00EB21AE" w:rsidP="00AD2C0D">
      <w:pPr>
        <w:jc w:val="both"/>
        <w:rPr>
          <w:b/>
        </w:rPr>
      </w:pPr>
      <w:r w:rsidRPr="00EB21AE">
        <w:rPr>
          <w:b/>
        </w:rPr>
        <w:t xml:space="preserve">Publicado no </w:t>
      </w:r>
      <w:r w:rsidR="000709A6">
        <w:rPr>
          <w:b/>
        </w:rPr>
        <w:t xml:space="preserve">Caderno do Executivo do </w:t>
      </w:r>
      <w:r w:rsidRPr="00EB21AE">
        <w:rPr>
          <w:b/>
        </w:rPr>
        <w:t xml:space="preserve">Minas Gerais de </w:t>
      </w:r>
      <w:r w:rsidR="00B947A0">
        <w:rPr>
          <w:b/>
        </w:rPr>
        <w:t>18</w:t>
      </w:r>
      <w:r w:rsidRPr="00EB21AE">
        <w:rPr>
          <w:b/>
        </w:rPr>
        <w:t xml:space="preserve"> de </w:t>
      </w:r>
      <w:r w:rsidR="00B947A0">
        <w:rPr>
          <w:b/>
        </w:rPr>
        <w:t>abril</w:t>
      </w:r>
      <w:r w:rsidRPr="00EB21AE">
        <w:rPr>
          <w:b/>
        </w:rPr>
        <w:t xml:space="preserve"> de 2019, página 0</w:t>
      </w:r>
      <w:r w:rsidR="00B947A0">
        <w:rPr>
          <w:b/>
        </w:rPr>
        <w:t>4</w:t>
      </w:r>
      <w:r w:rsidR="006F3C73">
        <w:rPr>
          <w:b/>
        </w:rPr>
        <w:t>, coluna</w:t>
      </w:r>
      <w:r w:rsidR="00FF79C6">
        <w:rPr>
          <w:b/>
        </w:rPr>
        <w:t>s 0</w:t>
      </w:r>
      <w:r w:rsidR="00B947A0">
        <w:rPr>
          <w:b/>
        </w:rPr>
        <w:t>2</w:t>
      </w:r>
      <w:r w:rsidR="00FF79C6">
        <w:rPr>
          <w:b/>
        </w:rPr>
        <w:t xml:space="preserve"> e</w:t>
      </w:r>
      <w:r w:rsidR="006F3C73">
        <w:rPr>
          <w:b/>
        </w:rPr>
        <w:t xml:space="preserve"> 0</w:t>
      </w:r>
      <w:r w:rsidR="00B947A0">
        <w:rPr>
          <w:b/>
        </w:rPr>
        <w:t>3</w:t>
      </w:r>
      <w:r w:rsidRPr="00EB21AE">
        <w:rPr>
          <w:b/>
        </w:rPr>
        <w:t>.</w:t>
      </w:r>
    </w:p>
    <w:sectPr w:rsidR="00EB21AE" w:rsidRPr="00EB21AE" w:rsidSect="00C01D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EB" w:rsidRDefault="000823EB" w:rsidP="008B339C">
      <w:r>
        <w:separator/>
      </w:r>
    </w:p>
  </w:endnote>
  <w:endnote w:type="continuationSeparator" w:id="0">
    <w:p w:rsidR="000823EB" w:rsidRDefault="000823EB" w:rsidP="008B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EB" w:rsidRDefault="000823EB" w:rsidP="008B339C">
      <w:r>
        <w:separator/>
      </w:r>
    </w:p>
  </w:footnote>
  <w:footnote w:type="continuationSeparator" w:id="0">
    <w:p w:rsidR="000823EB" w:rsidRDefault="000823EB" w:rsidP="008B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5041"/>
    <w:multiLevelType w:val="hybridMultilevel"/>
    <w:tmpl w:val="226845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AF3124"/>
    <w:multiLevelType w:val="hybridMultilevel"/>
    <w:tmpl w:val="596ABE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EA3"/>
    <w:multiLevelType w:val="hybridMultilevel"/>
    <w:tmpl w:val="CB200A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04B76"/>
    <w:multiLevelType w:val="hybridMultilevel"/>
    <w:tmpl w:val="3C62F1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4CD7"/>
    <w:multiLevelType w:val="hybridMultilevel"/>
    <w:tmpl w:val="1DAEF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C3E99"/>
    <w:multiLevelType w:val="hybridMultilevel"/>
    <w:tmpl w:val="51B6453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16700C"/>
    <w:multiLevelType w:val="hybridMultilevel"/>
    <w:tmpl w:val="FB5223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1A"/>
    <w:rsid w:val="000042F5"/>
    <w:rsid w:val="000061E8"/>
    <w:rsid w:val="00006D13"/>
    <w:rsid w:val="00010503"/>
    <w:rsid w:val="00010B4E"/>
    <w:rsid w:val="0001451A"/>
    <w:rsid w:val="0001618D"/>
    <w:rsid w:val="00016509"/>
    <w:rsid w:val="00017318"/>
    <w:rsid w:val="00017618"/>
    <w:rsid w:val="00017D89"/>
    <w:rsid w:val="0002710A"/>
    <w:rsid w:val="00027CA0"/>
    <w:rsid w:val="00034789"/>
    <w:rsid w:val="00056E23"/>
    <w:rsid w:val="00062C1B"/>
    <w:rsid w:val="00066447"/>
    <w:rsid w:val="000709A6"/>
    <w:rsid w:val="000823EB"/>
    <w:rsid w:val="00082C2F"/>
    <w:rsid w:val="00093079"/>
    <w:rsid w:val="000B2F4C"/>
    <w:rsid w:val="000B6DC1"/>
    <w:rsid w:val="000C658F"/>
    <w:rsid w:val="000D0CAD"/>
    <w:rsid w:val="000D0D48"/>
    <w:rsid w:val="000D161C"/>
    <w:rsid w:val="000E144A"/>
    <w:rsid w:val="000E69EF"/>
    <w:rsid w:val="000E6B55"/>
    <w:rsid w:val="000F3D0F"/>
    <w:rsid w:val="000F6F92"/>
    <w:rsid w:val="00101ACA"/>
    <w:rsid w:val="00112C2C"/>
    <w:rsid w:val="00123D6D"/>
    <w:rsid w:val="001270EE"/>
    <w:rsid w:val="001403FE"/>
    <w:rsid w:val="00145CFA"/>
    <w:rsid w:val="001575F8"/>
    <w:rsid w:val="001626CB"/>
    <w:rsid w:val="0016326C"/>
    <w:rsid w:val="00171BB6"/>
    <w:rsid w:val="00180643"/>
    <w:rsid w:val="00187EBA"/>
    <w:rsid w:val="001933E6"/>
    <w:rsid w:val="001A26B4"/>
    <w:rsid w:val="001B1C67"/>
    <w:rsid w:val="001B5743"/>
    <w:rsid w:val="001C6AFE"/>
    <w:rsid w:val="001D2DD7"/>
    <w:rsid w:val="001E68EF"/>
    <w:rsid w:val="001F0A98"/>
    <w:rsid w:val="002039A9"/>
    <w:rsid w:val="00215306"/>
    <w:rsid w:val="002157EC"/>
    <w:rsid w:val="00221B66"/>
    <w:rsid w:val="00242F4F"/>
    <w:rsid w:val="002858FF"/>
    <w:rsid w:val="002B0DE5"/>
    <w:rsid w:val="002D4C9B"/>
    <w:rsid w:val="002D6B2A"/>
    <w:rsid w:val="002E11B7"/>
    <w:rsid w:val="002F2188"/>
    <w:rsid w:val="002F5108"/>
    <w:rsid w:val="00323072"/>
    <w:rsid w:val="00326E03"/>
    <w:rsid w:val="00344899"/>
    <w:rsid w:val="0035191C"/>
    <w:rsid w:val="00367F94"/>
    <w:rsid w:val="00374779"/>
    <w:rsid w:val="00377D6E"/>
    <w:rsid w:val="003838C5"/>
    <w:rsid w:val="003A0FDD"/>
    <w:rsid w:val="003A124E"/>
    <w:rsid w:val="003A3DD3"/>
    <w:rsid w:val="003B6CC5"/>
    <w:rsid w:val="003C20ED"/>
    <w:rsid w:val="003C4EE6"/>
    <w:rsid w:val="003D1476"/>
    <w:rsid w:val="003D1C4D"/>
    <w:rsid w:val="003D2D8E"/>
    <w:rsid w:val="003D398D"/>
    <w:rsid w:val="003D555E"/>
    <w:rsid w:val="003D7646"/>
    <w:rsid w:val="003E01E2"/>
    <w:rsid w:val="003F5C75"/>
    <w:rsid w:val="004042F3"/>
    <w:rsid w:val="00404BA2"/>
    <w:rsid w:val="00415ADA"/>
    <w:rsid w:val="004230BA"/>
    <w:rsid w:val="0042316B"/>
    <w:rsid w:val="00431676"/>
    <w:rsid w:val="00431EB1"/>
    <w:rsid w:val="00441D4E"/>
    <w:rsid w:val="00470E1C"/>
    <w:rsid w:val="00471D4C"/>
    <w:rsid w:val="00481CCC"/>
    <w:rsid w:val="00497399"/>
    <w:rsid w:val="004A25EE"/>
    <w:rsid w:val="004C44DB"/>
    <w:rsid w:val="004D5055"/>
    <w:rsid w:val="00501C1D"/>
    <w:rsid w:val="00502233"/>
    <w:rsid w:val="00513F3F"/>
    <w:rsid w:val="00515E58"/>
    <w:rsid w:val="00523F6B"/>
    <w:rsid w:val="00536C7C"/>
    <w:rsid w:val="005469A9"/>
    <w:rsid w:val="00557FB2"/>
    <w:rsid w:val="005618ED"/>
    <w:rsid w:val="00562379"/>
    <w:rsid w:val="0056460C"/>
    <w:rsid w:val="00583CC0"/>
    <w:rsid w:val="005846F7"/>
    <w:rsid w:val="00585EDA"/>
    <w:rsid w:val="0059436D"/>
    <w:rsid w:val="005969CD"/>
    <w:rsid w:val="005A08BD"/>
    <w:rsid w:val="005B01E5"/>
    <w:rsid w:val="005C5FDE"/>
    <w:rsid w:val="005C6798"/>
    <w:rsid w:val="005C7FC4"/>
    <w:rsid w:val="005D14BE"/>
    <w:rsid w:val="005D3F0E"/>
    <w:rsid w:val="005E21DC"/>
    <w:rsid w:val="005F6D3A"/>
    <w:rsid w:val="00610CA4"/>
    <w:rsid w:val="006237C4"/>
    <w:rsid w:val="006278DE"/>
    <w:rsid w:val="0063544C"/>
    <w:rsid w:val="00644587"/>
    <w:rsid w:val="0065296A"/>
    <w:rsid w:val="00655E84"/>
    <w:rsid w:val="006576AA"/>
    <w:rsid w:val="00660A0D"/>
    <w:rsid w:val="00665B69"/>
    <w:rsid w:val="0067489A"/>
    <w:rsid w:val="0068705F"/>
    <w:rsid w:val="0069293A"/>
    <w:rsid w:val="006B07AD"/>
    <w:rsid w:val="006B663F"/>
    <w:rsid w:val="006C06DE"/>
    <w:rsid w:val="006C1349"/>
    <w:rsid w:val="006D78ED"/>
    <w:rsid w:val="006F1467"/>
    <w:rsid w:val="006F3C73"/>
    <w:rsid w:val="00704FB2"/>
    <w:rsid w:val="007247B9"/>
    <w:rsid w:val="00731D8E"/>
    <w:rsid w:val="00743285"/>
    <w:rsid w:val="007550C4"/>
    <w:rsid w:val="007A4C1D"/>
    <w:rsid w:val="007A5E85"/>
    <w:rsid w:val="007A76FA"/>
    <w:rsid w:val="007A7E10"/>
    <w:rsid w:val="007B5C61"/>
    <w:rsid w:val="007D1307"/>
    <w:rsid w:val="007E52BE"/>
    <w:rsid w:val="007F1FA1"/>
    <w:rsid w:val="00801874"/>
    <w:rsid w:val="00833A97"/>
    <w:rsid w:val="0083550C"/>
    <w:rsid w:val="00860EA9"/>
    <w:rsid w:val="008763FC"/>
    <w:rsid w:val="0089358B"/>
    <w:rsid w:val="008B0658"/>
    <w:rsid w:val="008B339C"/>
    <w:rsid w:val="00901D45"/>
    <w:rsid w:val="009136CA"/>
    <w:rsid w:val="009217E4"/>
    <w:rsid w:val="0092584C"/>
    <w:rsid w:val="009306AA"/>
    <w:rsid w:val="00940D9C"/>
    <w:rsid w:val="00942692"/>
    <w:rsid w:val="00943246"/>
    <w:rsid w:val="009472C7"/>
    <w:rsid w:val="00975FA8"/>
    <w:rsid w:val="00976EBA"/>
    <w:rsid w:val="009816D3"/>
    <w:rsid w:val="009B174C"/>
    <w:rsid w:val="009B4E5C"/>
    <w:rsid w:val="009C6F3D"/>
    <w:rsid w:val="009D47A3"/>
    <w:rsid w:val="009D5B5A"/>
    <w:rsid w:val="009D63E4"/>
    <w:rsid w:val="009D7016"/>
    <w:rsid w:val="009E06C5"/>
    <w:rsid w:val="009E1806"/>
    <w:rsid w:val="009E3BBB"/>
    <w:rsid w:val="009F0B56"/>
    <w:rsid w:val="00A13B2C"/>
    <w:rsid w:val="00A24626"/>
    <w:rsid w:val="00A37618"/>
    <w:rsid w:val="00A46406"/>
    <w:rsid w:val="00A5020B"/>
    <w:rsid w:val="00A512E0"/>
    <w:rsid w:val="00A56EC8"/>
    <w:rsid w:val="00A751E2"/>
    <w:rsid w:val="00A86363"/>
    <w:rsid w:val="00A92DF5"/>
    <w:rsid w:val="00A977AB"/>
    <w:rsid w:val="00AA05F1"/>
    <w:rsid w:val="00AB7B86"/>
    <w:rsid w:val="00AC4D40"/>
    <w:rsid w:val="00AD2C0D"/>
    <w:rsid w:val="00AE76A3"/>
    <w:rsid w:val="00B03E5C"/>
    <w:rsid w:val="00B23451"/>
    <w:rsid w:val="00B40AC1"/>
    <w:rsid w:val="00B5040B"/>
    <w:rsid w:val="00B64A72"/>
    <w:rsid w:val="00B669E6"/>
    <w:rsid w:val="00B67866"/>
    <w:rsid w:val="00B7102F"/>
    <w:rsid w:val="00B947A0"/>
    <w:rsid w:val="00BB58BE"/>
    <w:rsid w:val="00BC4252"/>
    <w:rsid w:val="00BC5652"/>
    <w:rsid w:val="00BE3B2D"/>
    <w:rsid w:val="00BE7CC2"/>
    <w:rsid w:val="00BF2373"/>
    <w:rsid w:val="00BF3132"/>
    <w:rsid w:val="00C01D8D"/>
    <w:rsid w:val="00C0211B"/>
    <w:rsid w:val="00C030FA"/>
    <w:rsid w:val="00C34CC3"/>
    <w:rsid w:val="00C416AF"/>
    <w:rsid w:val="00C60B93"/>
    <w:rsid w:val="00C6367E"/>
    <w:rsid w:val="00C66375"/>
    <w:rsid w:val="00C70553"/>
    <w:rsid w:val="00C73888"/>
    <w:rsid w:val="00C8387C"/>
    <w:rsid w:val="00C94DA7"/>
    <w:rsid w:val="00CB3652"/>
    <w:rsid w:val="00CB580C"/>
    <w:rsid w:val="00CB7FDF"/>
    <w:rsid w:val="00CD7CF2"/>
    <w:rsid w:val="00CE0D7C"/>
    <w:rsid w:val="00CE394C"/>
    <w:rsid w:val="00CE7390"/>
    <w:rsid w:val="00D000BE"/>
    <w:rsid w:val="00D06569"/>
    <w:rsid w:val="00D20213"/>
    <w:rsid w:val="00D26895"/>
    <w:rsid w:val="00D27BF8"/>
    <w:rsid w:val="00D31108"/>
    <w:rsid w:val="00D332D6"/>
    <w:rsid w:val="00D472D5"/>
    <w:rsid w:val="00D474D1"/>
    <w:rsid w:val="00D57899"/>
    <w:rsid w:val="00D804C1"/>
    <w:rsid w:val="00D8280E"/>
    <w:rsid w:val="00DA14B8"/>
    <w:rsid w:val="00DA1F3B"/>
    <w:rsid w:val="00DB1976"/>
    <w:rsid w:val="00DD5192"/>
    <w:rsid w:val="00DE6E7E"/>
    <w:rsid w:val="00DF3C82"/>
    <w:rsid w:val="00DF5714"/>
    <w:rsid w:val="00DF7455"/>
    <w:rsid w:val="00E025CB"/>
    <w:rsid w:val="00E03EF7"/>
    <w:rsid w:val="00E04770"/>
    <w:rsid w:val="00E22E9E"/>
    <w:rsid w:val="00E30599"/>
    <w:rsid w:val="00E42927"/>
    <w:rsid w:val="00E506C7"/>
    <w:rsid w:val="00E613B8"/>
    <w:rsid w:val="00E81C5D"/>
    <w:rsid w:val="00E90A7E"/>
    <w:rsid w:val="00EB21AE"/>
    <w:rsid w:val="00EB50F7"/>
    <w:rsid w:val="00EB64E8"/>
    <w:rsid w:val="00EC76AF"/>
    <w:rsid w:val="00ED2F50"/>
    <w:rsid w:val="00ED3DF2"/>
    <w:rsid w:val="00ED6BA9"/>
    <w:rsid w:val="00EE7165"/>
    <w:rsid w:val="00EF7528"/>
    <w:rsid w:val="00F002A5"/>
    <w:rsid w:val="00F05BD1"/>
    <w:rsid w:val="00F13A6B"/>
    <w:rsid w:val="00F147D2"/>
    <w:rsid w:val="00F21BCB"/>
    <w:rsid w:val="00F26CB6"/>
    <w:rsid w:val="00F30797"/>
    <w:rsid w:val="00F337C8"/>
    <w:rsid w:val="00F44DF0"/>
    <w:rsid w:val="00F57EEF"/>
    <w:rsid w:val="00F71AB8"/>
    <w:rsid w:val="00F73B1A"/>
    <w:rsid w:val="00F8156D"/>
    <w:rsid w:val="00FA680E"/>
    <w:rsid w:val="00FA6A28"/>
    <w:rsid w:val="00FB0101"/>
    <w:rsid w:val="00FB4C45"/>
    <w:rsid w:val="00FE4D44"/>
    <w:rsid w:val="00FF6642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0508CD"/>
  <w15:docId w15:val="{83576E7A-6083-4287-8AE0-D0F4C073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F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A05F1"/>
    <w:rPr>
      <w:sz w:val="27"/>
      <w:szCs w:val="27"/>
    </w:rPr>
  </w:style>
  <w:style w:type="paragraph" w:styleId="Cabealho">
    <w:name w:val="header"/>
    <w:basedOn w:val="Normal"/>
    <w:link w:val="CabealhoChar"/>
    <w:unhideWhenUsed/>
    <w:rsid w:val="008B33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39C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B33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339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EF7528"/>
    <w:rPr>
      <w:sz w:val="27"/>
      <w:szCs w:val="27"/>
    </w:rPr>
  </w:style>
  <w:style w:type="paragraph" w:customStyle="1" w:styleId="itens">
    <w:name w:val="itens"/>
    <w:basedOn w:val="Normal"/>
    <w:rsid w:val="002858FF"/>
    <w:pPr>
      <w:widowControl w:val="0"/>
      <w:spacing w:before="60"/>
      <w:ind w:left="851" w:hanging="284"/>
    </w:pPr>
    <w:rPr>
      <w:rFonts w:ascii="Arial" w:hAnsi="Arial"/>
      <w:szCs w:val="20"/>
    </w:rPr>
  </w:style>
  <w:style w:type="character" w:styleId="Hyperlink">
    <w:name w:val="Hyperlink"/>
    <w:basedOn w:val="Fontepargpadro"/>
    <w:uiPriority w:val="99"/>
    <w:unhideWhenUsed/>
    <w:rsid w:val="00221B6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30F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94DA7"/>
    <w:rPr>
      <w:b/>
      <w:bCs/>
    </w:rPr>
  </w:style>
  <w:style w:type="paragraph" w:customStyle="1" w:styleId="western">
    <w:name w:val="western"/>
    <w:basedOn w:val="Normal"/>
    <w:rsid w:val="00A751E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2710A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F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">
    <w:name w:val="cabea"/>
    <w:basedOn w:val="Normal"/>
    <w:rsid w:val="00377D6E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377D6E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D57899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D57899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D57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1572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Horizonte,____de_______de_____</vt:lpstr>
    </vt:vector>
  </TitlesOfParts>
  <Company>Secretaria de Est. de Cultura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Horizonte,____de_______de_____</dc:title>
  <dc:creator>João Marcos Nogueira Pereira (SEC)</dc:creator>
  <cp:lastModifiedBy>João Marcos Nogueira Pereira</cp:lastModifiedBy>
  <cp:revision>2</cp:revision>
  <cp:lastPrinted>2015-08-31T12:23:00Z</cp:lastPrinted>
  <dcterms:created xsi:type="dcterms:W3CDTF">2019-10-02T18:40:00Z</dcterms:created>
  <dcterms:modified xsi:type="dcterms:W3CDTF">2019-10-02T18:40:00Z</dcterms:modified>
</cp:coreProperties>
</file>