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C6" w:rsidRPr="00FF79C6" w:rsidRDefault="00FF79C6" w:rsidP="00FF79C6">
      <w:pPr>
        <w:jc w:val="center"/>
        <w:rPr>
          <w:b/>
        </w:rPr>
      </w:pPr>
      <w:r w:rsidRPr="00FF79C6">
        <w:rPr>
          <w:b/>
        </w:rPr>
        <w:t>RESOLUÇÃO CGE Nº 02, DE 31 DE JANEIRO DE 2019.</w:t>
      </w:r>
    </w:p>
    <w:p w:rsidR="00FF79C6" w:rsidRDefault="00FF79C6" w:rsidP="00AD2C0D">
      <w:pPr>
        <w:jc w:val="both"/>
      </w:pPr>
    </w:p>
    <w:p w:rsidR="00FF79C6" w:rsidRDefault="00FF79C6" w:rsidP="00AD2C0D">
      <w:pPr>
        <w:jc w:val="both"/>
      </w:pPr>
      <w:r w:rsidRPr="00FF79C6">
        <w:t xml:space="preserve">Institui o Programa de Capacitação, Orientação e valorização de Servidores Públicos do Poder Executivo, denominado “CGE Capacita”, no âmbito da Controladoria-Geral do Estado e dá outras providências. </w:t>
      </w:r>
    </w:p>
    <w:p w:rsidR="00FF79C6" w:rsidRDefault="00FF79C6" w:rsidP="00AD2C0D">
      <w:pPr>
        <w:jc w:val="both"/>
      </w:pPr>
    </w:p>
    <w:p w:rsidR="00FF79C6" w:rsidRDefault="00FF79C6" w:rsidP="00AD2C0D">
      <w:pPr>
        <w:jc w:val="both"/>
      </w:pPr>
      <w:r w:rsidRPr="00FF79C6">
        <w:t>O CONT</w:t>
      </w:r>
      <w:r>
        <w:t>R</w:t>
      </w:r>
      <w:r w:rsidRPr="00FF79C6">
        <w:t>OLADO</w:t>
      </w:r>
      <w:r>
        <w:t>R</w:t>
      </w:r>
      <w:r w:rsidRPr="00FF79C6">
        <w:t>-GE</w:t>
      </w:r>
      <w:r>
        <w:t>R</w:t>
      </w:r>
      <w:r w:rsidRPr="00FF79C6">
        <w:t>AL DO ESTADO, no uso de suas atribuições legais, tendo em vista o disposto no artigo 48 da Lei nº 2</w:t>
      </w:r>
      <w:bookmarkStart w:id="0" w:name="_GoBack"/>
      <w:bookmarkEnd w:id="0"/>
      <w:r w:rsidRPr="00FF79C6">
        <w:t xml:space="preserve">2 .257, de 27 de julho de 2016, e considerando a necessidade de disciplinar a realização de cursos de capacitação, treinamentos e orientações relacionados às atividades institucionais da Controladoria-Geral, bem como de promover ações de valorização de servidores públicos em exercício no órgão central e nas unidades setoriais e seccionais de controle interno, </w:t>
      </w:r>
    </w:p>
    <w:p w:rsidR="00FF79C6" w:rsidRDefault="00FF79C6" w:rsidP="00AD2C0D">
      <w:pPr>
        <w:jc w:val="both"/>
      </w:pPr>
    </w:p>
    <w:p w:rsidR="00FF79C6" w:rsidRDefault="00FF79C6" w:rsidP="00AD2C0D">
      <w:pPr>
        <w:jc w:val="both"/>
      </w:pPr>
      <w:r>
        <w:t>R</w:t>
      </w:r>
      <w:r w:rsidRPr="00FF79C6">
        <w:t>ESOL</w:t>
      </w:r>
      <w:r>
        <w:t>V</w:t>
      </w:r>
      <w:r w:rsidRPr="00FF79C6">
        <w:t xml:space="preserve">E: </w:t>
      </w:r>
    </w:p>
    <w:p w:rsidR="00FF79C6" w:rsidRDefault="00FF79C6" w:rsidP="00AD2C0D">
      <w:pPr>
        <w:jc w:val="both"/>
      </w:pPr>
    </w:p>
    <w:p w:rsidR="00FF79C6" w:rsidRDefault="00FF79C6" w:rsidP="00AD2C0D">
      <w:pPr>
        <w:jc w:val="both"/>
      </w:pPr>
      <w:r w:rsidRPr="00FF79C6">
        <w:t xml:space="preserve">Art. 1º - Fica instituído o Programa de Capacitação, Orientação e valorização de Servidores Públicos do Poder Executivo, denominado “CGE Capacita”, no âmbito da pela Controladoria-Geral do Estado, com objetivo geral de disciplinar a realização de cursos de capacitação, treinamentos e orientações relacionados às atividades institucionais da Controladoria-Geral, bem como de promover ações de valorização de servidores públicos em exercício no órgão central e nas unidades setoriais e seccionais de controle interno. </w:t>
      </w:r>
    </w:p>
    <w:p w:rsidR="00FF79C6" w:rsidRDefault="00FF79C6" w:rsidP="00AD2C0D">
      <w:pPr>
        <w:jc w:val="both"/>
      </w:pPr>
    </w:p>
    <w:p w:rsidR="00FF79C6" w:rsidRDefault="00FF79C6" w:rsidP="00AD2C0D">
      <w:pPr>
        <w:jc w:val="both"/>
      </w:pPr>
      <w:r w:rsidRPr="00FF79C6">
        <w:t xml:space="preserve">Parágrafo único - O CGE Capacita tem como objetivos específicos: </w:t>
      </w:r>
    </w:p>
    <w:p w:rsidR="00FF79C6" w:rsidRDefault="00FF79C6" w:rsidP="00AD2C0D">
      <w:pPr>
        <w:jc w:val="both"/>
      </w:pPr>
    </w:p>
    <w:p w:rsidR="00FF79C6" w:rsidRDefault="00FF79C6" w:rsidP="00AD2C0D">
      <w:pPr>
        <w:jc w:val="both"/>
      </w:pPr>
      <w:r w:rsidRPr="00FF79C6">
        <w:t xml:space="preserve">I – fortalecer o controle interno preventivo; </w:t>
      </w:r>
    </w:p>
    <w:p w:rsidR="00AD2C0D" w:rsidRDefault="00FF79C6" w:rsidP="00AD2C0D">
      <w:pPr>
        <w:jc w:val="both"/>
      </w:pPr>
      <w:r w:rsidRPr="00FF79C6">
        <w:t xml:space="preserve">II – promover iniciativas de interação com os gestores públicos estaduais, por meio da oferta de cursos de capacitação, treinamentos e orientações de acordo com as necessidades dos órgãos e entidades da </w:t>
      </w:r>
      <w:r>
        <w:t>Administração Pública Estadual, que sejam relacionados ao controle interno;</w:t>
      </w:r>
    </w:p>
    <w:p w:rsidR="00FF79C6" w:rsidRDefault="00FF79C6" w:rsidP="00FF79C6">
      <w:pPr>
        <w:jc w:val="both"/>
      </w:pPr>
      <w:r w:rsidRPr="00FF79C6">
        <w:t>III – estabelecer parcerias com instituições para promoção de melhorias na gestão pública estadual; I</w:t>
      </w:r>
      <w:r>
        <w:t>V</w:t>
      </w:r>
      <w:r w:rsidRPr="00FF79C6">
        <w:t xml:space="preserve"> – promover inovação e disseminação de boas práticas de controle interno e de gestão; v – valorizar os servidores públicos em exercício no órgão central e nas unidades setoriais e seccionais de controle interno, prestigiando e divulgando trabalhos e condutas exemplares no contexto institucional; </w:t>
      </w:r>
    </w:p>
    <w:p w:rsidR="00FF79C6" w:rsidRDefault="00FF79C6" w:rsidP="00FF79C6">
      <w:pPr>
        <w:jc w:val="both"/>
      </w:pPr>
    </w:p>
    <w:p w:rsidR="00FF79C6" w:rsidRDefault="00FF79C6" w:rsidP="00FF79C6">
      <w:pPr>
        <w:jc w:val="both"/>
      </w:pPr>
      <w:r w:rsidRPr="00FF79C6">
        <w:t xml:space="preserve">Art. 2º - Fica instituída a Comissão responsável para coordenar as ações do Programa a que se refere o artigo 1º, composta pelos seguintes membros, que estejam nomeados ou designados para responder pela chefia das seguintes unidades: </w:t>
      </w:r>
    </w:p>
    <w:p w:rsidR="00FF79C6" w:rsidRDefault="00FF79C6" w:rsidP="00FF79C6">
      <w:pPr>
        <w:jc w:val="both"/>
      </w:pPr>
    </w:p>
    <w:p w:rsidR="00FF79C6" w:rsidRDefault="00FF79C6" w:rsidP="00FF79C6">
      <w:pPr>
        <w:jc w:val="both"/>
      </w:pPr>
      <w:r w:rsidRPr="00FF79C6">
        <w:t xml:space="preserve">I – Gabinete; </w:t>
      </w:r>
    </w:p>
    <w:p w:rsidR="00FF79C6" w:rsidRDefault="00FF79C6" w:rsidP="00FF79C6">
      <w:pPr>
        <w:jc w:val="both"/>
      </w:pPr>
      <w:r w:rsidRPr="00FF79C6">
        <w:t xml:space="preserve">II – Assessoria Técnica e de Pesquisa e Desenvolvimento; </w:t>
      </w:r>
    </w:p>
    <w:p w:rsidR="00FF79C6" w:rsidRDefault="00FF79C6" w:rsidP="00FF79C6">
      <w:pPr>
        <w:jc w:val="both"/>
      </w:pPr>
      <w:r w:rsidRPr="00FF79C6">
        <w:t xml:space="preserve">III – Assessoria de Comunicação Social; </w:t>
      </w:r>
    </w:p>
    <w:p w:rsidR="00FF79C6" w:rsidRDefault="00FF79C6" w:rsidP="00FF79C6">
      <w:pPr>
        <w:jc w:val="both"/>
      </w:pPr>
      <w:r w:rsidRPr="00FF79C6">
        <w:t>I</w:t>
      </w:r>
      <w:r>
        <w:t>V</w:t>
      </w:r>
      <w:r w:rsidRPr="00FF79C6">
        <w:t xml:space="preserve"> – Assessoria de Apoio às Ações de Controle Interno; </w:t>
      </w:r>
    </w:p>
    <w:p w:rsidR="00FF79C6" w:rsidRDefault="00FF79C6" w:rsidP="00FF79C6">
      <w:pPr>
        <w:jc w:val="both"/>
      </w:pPr>
      <w:r>
        <w:t>V</w:t>
      </w:r>
      <w:r w:rsidRPr="00FF79C6">
        <w:t xml:space="preserve"> – Superintendência de Planejamento, Gestão e Finanças; </w:t>
      </w:r>
    </w:p>
    <w:p w:rsidR="00FF79C6" w:rsidRDefault="00FF79C6" w:rsidP="00FF79C6">
      <w:pPr>
        <w:jc w:val="both"/>
      </w:pPr>
      <w:r>
        <w:t>V</w:t>
      </w:r>
      <w:r w:rsidRPr="00FF79C6">
        <w:t xml:space="preserve">I – Subcontroladoria de Governo Aberto; </w:t>
      </w:r>
    </w:p>
    <w:p w:rsidR="00FF79C6" w:rsidRDefault="00FF79C6" w:rsidP="00FF79C6">
      <w:pPr>
        <w:jc w:val="both"/>
      </w:pPr>
      <w:r>
        <w:t>V</w:t>
      </w:r>
      <w:r w:rsidRPr="00FF79C6">
        <w:t xml:space="preserve">II – Auditoria-Geral; </w:t>
      </w:r>
    </w:p>
    <w:p w:rsidR="00FF79C6" w:rsidRDefault="00FF79C6" w:rsidP="00FF79C6">
      <w:pPr>
        <w:jc w:val="both"/>
      </w:pPr>
      <w:r>
        <w:t>V</w:t>
      </w:r>
      <w:r w:rsidRPr="00FF79C6">
        <w:t xml:space="preserve">III – Corregedoria-Geral. </w:t>
      </w:r>
    </w:p>
    <w:p w:rsidR="00FF79C6" w:rsidRDefault="00FF79C6" w:rsidP="00FF79C6">
      <w:pPr>
        <w:jc w:val="both"/>
      </w:pPr>
    </w:p>
    <w:p w:rsidR="00FF79C6" w:rsidRDefault="00FF79C6" w:rsidP="00FF79C6">
      <w:pPr>
        <w:jc w:val="both"/>
      </w:pPr>
      <w:r w:rsidRPr="00FF79C6">
        <w:t xml:space="preserve">Parágrafo único - Compete à Comissão a que se refere o caput deste artigo o levantamento e a proposição de parcerias com outros órgãos e entidades, por meio de instrumentos de cooperação, com vistas a viabilizar a realização de cursos, treinamentos e eventos afetos a este Programa. </w:t>
      </w:r>
    </w:p>
    <w:p w:rsidR="00FF79C6" w:rsidRDefault="00FF79C6" w:rsidP="00FF79C6">
      <w:pPr>
        <w:jc w:val="both"/>
      </w:pPr>
    </w:p>
    <w:p w:rsidR="00FF79C6" w:rsidRDefault="00FF79C6" w:rsidP="00FF79C6">
      <w:pPr>
        <w:jc w:val="both"/>
      </w:pPr>
      <w:r w:rsidRPr="00FF79C6">
        <w:t xml:space="preserve">Art. 3º - Os casos omissos serão resolvidos pelo Controlador-Geral. </w:t>
      </w:r>
    </w:p>
    <w:p w:rsidR="00FF79C6" w:rsidRDefault="00FF79C6" w:rsidP="00FF79C6">
      <w:pPr>
        <w:jc w:val="both"/>
      </w:pPr>
    </w:p>
    <w:p w:rsidR="00FF79C6" w:rsidRDefault="00FF79C6" w:rsidP="00FF79C6">
      <w:pPr>
        <w:jc w:val="both"/>
      </w:pPr>
      <w:r w:rsidRPr="00FF79C6">
        <w:t>Art. 4º - Esta resolução entra em vigor na data de sua publicação.</w:t>
      </w:r>
    </w:p>
    <w:p w:rsidR="00FF79C6" w:rsidRDefault="00FF79C6" w:rsidP="00FF79C6">
      <w:pPr>
        <w:jc w:val="both"/>
      </w:pPr>
    </w:p>
    <w:p w:rsidR="00FF79C6" w:rsidRDefault="00FF79C6" w:rsidP="00FF79C6">
      <w:pPr>
        <w:jc w:val="both"/>
      </w:pPr>
      <w:r>
        <w:t>R</w:t>
      </w:r>
      <w:r w:rsidRPr="00FF79C6">
        <w:t>odrigo Fontenelle de Araújo Miranda</w:t>
      </w:r>
    </w:p>
    <w:p w:rsidR="00AD2C0D" w:rsidRPr="00FF79C6" w:rsidRDefault="00FF79C6" w:rsidP="00FF79C6">
      <w:pPr>
        <w:jc w:val="both"/>
      </w:pPr>
      <w:r w:rsidRPr="00FF79C6">
        <w:t xml:space="preserve">Controlador-Geral do Estado </w:t>
      </w:r>
    </w:p>
    <w:p w:rsidR="00EB21AE" w:rsidRDefault="00EB21AE" w:rsidP="00AD2C0D">
      <w:pPr>
        <w:jc w:val="both"/>
      </w:pPr>
    </w:p>
    <w:p w:rsidR="00EB21AE" w:rsidRPr="00EB21AE" w:rsidRDefault="00EB21AE" w:rsidP="00AD2C0D">
      <w:pPr>
        <w:jc w:val="both"/>
        <w:rPr>
          <w:b/>
        </w:rPr>
      </w:pPr>
      <w:r w:rsidRPr="00EB21AE">
        <w:rPr>
          <w:b/>
        </w:rPr>
        <w:lastRenderedPageBreak/>
        <w:t xml:space="preserve">Publicado no </w:t>
      </w:r>
      <w:r w:rsidR="000709A6">
        <w:rPr>
          <w:b/>
        </w:rPr>
        <w:t xml:space="preserve">Caderno do Executivo do </w:t>
      </w:r>
      <w:r w:rsidRPr="00EB21AE">
        <w:rPr>
          <w:b/>
        </w:rPr>
        <w:t>Minas Gerais de 0</w:t>
      </w:r>
      <w:r w:rsidR="00FF79C6">
        <w:rPr>
          <w:b/>
        </w:rPr>
        <w:t>1</w:t>
      </w:r>
      <w:r w:rsidRPr="00EB21AE">
        <w:rPr>
          <w:b/>
        </w:rPr>
        <w:t xml:space="preserve"> de </w:t>
      </w:r>
      <w:r w:rsidR="00FF79C6">
        <w:rPr>
          <w:b/>
        </w:rPr>
        <w:t>fevereiro</w:t>
      </w:r>
      <w:r w:rsidRPr="00EB21AE">
        <w:rPr>
          <w:b/>
        </w:rPr>
        <w:t xml:space="preserve"> de 2019, página 03</w:t>
      </w:r>
      <w:r w:rsidR="006F3C73">
        <w:rPr>
          <w:b/>
        </w:rPr>
        <w:t>, coluna</w:t>
      </w:r>
      <w:r w:rsidR="00FF79C6">
        <w:rPr>
          <w:b/>
        </w:rPr>
        <w:t>s 01 e</w:t>
      </w:r>
      <w:r w:rsidR="006F3C73">
        <w:rPr>
          <w:b/>
        </w:rPr>
        <w:t xml:space="preserve"> 02</w:t>
      </w:r>
      <w:r w:rsidRPr="00EB21AE">
        <w:rPr>
          <w:b/>
        </w:rPr>
        <w:t>.</w:t>
      </w:r>
    </w:p>
    <w:sectPr w:rsidR="00EB21AE" w:rsidRPr="00EB21AE" w:rsidSect="00C01D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3EB" w:rsidRDefault="000823EB" w:rsidP="008B339C">
      <w:r>
        <w:separator/>
      </w:r>
    </w:p>
  </w:endnote>
  <w:endnote w:type="continuationSeparator" w:id="0">
    <w:p w:rsidR="000823EB" w:rsidRDefault="000823EB" w:rsidP="008B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3EB" w:rsidRDefault="000823EB" w:rsidP="008B339C">
      <w:r>
        <w:separator/>
      </w:r>
    </w:p>
  </w:footnote>
  <w:footnote w:type="continuationSeparator" w:id="0">
    <w:p w:rsidR="000823EB" w:rsidRDefault="000823EB" w:rsidP="008B3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5041"/>
    <w:multiLevelType w:val="hybridMultilevel"/>
    <w:tmpl w:val="226845D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AF3124"/>
    <w:multiLevelType w:val="hybridMultilevel"/>
    <w:tmpl w:val="596ABE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87EA3"/>
    <w:multiLevelType w:val="hybridMultilevel"/>
    <w:tmpl w:val="CB200A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04B76"/>
    <w:multiLevelType w:val="hybridMultilevel"/>
    <w:tmpl w:val="3C62F1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4CD7"/>
    <w:multiLevelType w:val="hybridMultilevel"/>
    <w:tmpl w:val="1DAEF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C3E99"/>
    <w:multiLevelType w:val="hybridMultilevel"/>
    <w:tmpl w:val="51B6453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F16700C"/>
    <w:multiLevelType w:val="hybridMultilevel"/>
    <w:tmpl w:val="FB5223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1A"/>
    <w:rsid w:val="000042F5"/>
    <w:rsid w:val="000061E8"/>
    <w:rsid w:val="00006D13"/>
    <w:rsid w:val="00010503"/>
    <w:rsid w:val="00010B4E"/>
    <w:rsid w:val="0001451A"/>
    <w:rsid w:val="0001618D"/>
    <w:rsid w:val="00016509"/>
    <w:rsid w:val="00017318"/>
    <w:rsid w:val="00017618"/>
    <w:rsid w:val="00017D89"/>
    <w:rsid w:val="0002710A"/>
    <w:rsid w:val="00027CA0"/>
    <w:rsid w:val="00034789"/>
    <w:rsid w:val="00056E23"/>
    <w:rsid w:val="00062C1B"/>
    <w:rsid w:val="00066447"/>
    <w:rsid w:val="000709A6"/>
    <w:rsid w:val="000823EB"/>
    <w:rsid w:val="00082C2F"/>
    <w:rsid w:val="00093079"/>
    <w:rsid w:val="000B2F4C"/>
    <w:rsid w:val="000B6DC1"/>
    <w:rsid w:val="000C658F"/>
    <w:rsid w:val="000D0CAD"/>
    <w:rsid w:val="000D0D48"/>
    <w:rsid w:val="000D161C"/>
    <w:rsid w:val="000E144A"/>
    <w:rsid w:val="000E69EF"/>
    <w:rsid w:val="000E6B55"/>
    <w:rsid w:val="000F3D0F"/>
    <w:rsid w:val="000F6F92"/>
    <w:rsid w:val="00101ACA"/>
    <w:rsid w:val="00112C2C"/>
    <w:rsid w:val="00123D6D"/>
    <w:rsid w:val="001270EE"/>
    <w:rsid w:val="001403FE"/>
    <w:rsid w:val="00145CFA"/>
    <w:rsid w:val="001575F8"/>
    <w:rsid w:val="001626CB"/>
    <w:rsid w:val="0016326C"/>
    <w:rsid w:val="00171BB6"/>
    <w:rsid w:val="00180643"/>
    <w:rsid w:val="00187EBA"/>
    <w:rsid w:val="001933E6"/>
    <w:rsid w:val="001A26B4"/>
    <w:rsid w:val="001B1C67"/>
    <w:rsid w:val="001B5743"/>
    <w:rsid w:val="001C6AFE"/>
    <w:rsid w:val="001D2DD7"/>
    <w:rsid w:val="001E68EF"/>
    <w:rsid w:val="001F0A98"/>
    <w:rsid w:val="002039A9"/>
    <w:rsid w:val="00215306"/>
    <w:rsid w:val="002157EC"/>
    <w:rsid w:val="00221B66"/>
    <w:rsid w:val="00242F4F"/>
    <w:rsid w:val="002858FF"/>
    <w:rsid w:val="002B0DE5"/>
    <w:rsid w:val="002D4C9B"/>
    <w:rsid w:val="002D6B2A"/>
    <w:rsid w:val="002E11B7"/>
    <w:rsid w:val="002F2188"/>
    <w:rsid w:val="002F5108"/>
    <w:rsid w:val="00323072"/>
    <w:rsid w:val="00326E03"/>
    <w:rsid w:val="00344899"/>
    <w:rsid w:val="0035191C"/>
    <w:rsid w:val="00374779"/>
    <w:rsid w:val="00377D6E"/>
    <w:rsid w:val="003838C5"/>
    <w:rsid w:val="003A0FDD"/>
    <w:rsid w:val="003A124E"/>
    <w:rsid w:val="003A3DD3"/>
    <w:rsid w:val="003B6CC5"/>
    <w:rsid w:val="003C20ED"/>
    <w:rsid w:val="003C4EE6"/>
    <w:rsid w:val="003D1476"/>
    <w:rsid w:val="003D1C4D"/>
    <w:rsid w:val="003D2D8E"/>
    <w:rsid w:val="003D398D"/>
    <w:rsid w:val="003D555E"/>
    <w:rsid w:val="003E01E2"/>
    <w:rsid w:val="003F5C75"/>
    <w:rsid w:val="004042F3"/>
    <w:rsid w:val="00404BA2"/>
    <w:rsid w:val="00415ADA"/>
    <w:rsid w:val="004230BA"/>
    <w:rsid w:val="0042316B"/>
    <w:rsid w:val="00431676"/>
    <w:rsid w:val="00431EB1"/>
    <w:rsid w:val="00441D4E"/>
    <w:rsid w:val="00470E1C"/>
    <w:rsid w:val="00471D4C"/>
    <w:rsid w:val="00481CCC"/>
    <w:rsid w:val="00497399"/>
    <w:rsid w:val="004A25EE"/>
    <w:rsid w:val="004C44DB"/>
    <w:rsid w:val="004D5055"/>
    <w:rsid w:val="00501C1D"/>
    <w:rsid w:val="00513F3F"/>
    <w:rsid w:val="00515E58"/>
    <w:rsid w:val="00523F6B"/>
    <w:rsid w:val="00536C7C"/>
    <w:rsid w:val="005469A9"/>
    <w:rsid w:val="00557FB2"/>
    <w:rsid w:val="005618ED"/>
    <w:rsid w:val="00562379"/>
    <w:rsid w:val="0056460C"/>
    <w:rsid w:val="00583CC0"/>
    <w:rsid w:val="005846F7"/>
    <w:rsid w:val="00585EDA"/>
    <w:rsid w:val="0059436D"/>
    <w:rsid w:val="005969CD"/>
    <w:rsid w:val="005A08BD"/>
    <w:rsid w:val="005B01E5"/>
    <w:rsid w:val="005C5FDE"/>
    <w:rsid w:val="005C6798"/>
    <w:rsid w:val="005C7FC4"/>
    <w:rsid w:val="005D14BE"/>
    <w:rsid w:val="005D3F0E"/>
    <w:rsid w:val="005E21DC"/>
    <w:rsid w:val="005F6D3A"/>
    <w:rsid w:val="00610CA4"/>
    <w:rsid w:val="006237C4"/>
    <w:rsid w:val="006278DE"/>
    <w:rsid w:val="0063544C"/>
    <w:rsid w:val="00644587"/>
    <w:rsid w:val="0065296A"/>
    <w:rsid w:val="00655E84"/>
    <w:rsid w:val="006576AA"/>
    <w:rsid w:val="00660A0D"/>
    <w:rsid w:val="00665B69"/>
    <w:rsid w:val="0067489A"/>
    <w:rsid w:val="0068705F"/>
    <w:rsid w:val="0069293A"/>
    <w:rsid w:val="006B07AD"/>
    <w:rsid w:val="006B663F"/>
    <w:rsid w:val="006C06DE"/>
    <w:rsid w:val="006C1349"/>
    <w:rsid w:val="006D78ED"/>
    <w:rsid w:val="006F1467"/>
    <w:rsid w:val="006F3C73"/>
    <w:rsid w:val="00704FB2"/>
    <w:rsid w:val="007247B9"/>
    <w:rsid w:val="00731D8E"/>
    <w:rsid w:val="00743285"/>
    <w:rsid w:val="007550C4"/>
    <w:rsid w:val="007A4C1D"/>
    <w:rsid w:val="007A5E85"/>
    <w:rsid w:val="007A76FA"/>
    <w:rsid w:val="007A7E10"/>
    <w:rsid w:val="007B5C61"/>
    <w:rsid w:val="007D1307"/>
    <w:rsid w:val="007E52BE"/>
    <w:rsid w:val="007F1FA1"/>
    <w:rsid w:val="00801874"/>
    <w:rsid w:val="00833A97"/>
    <w:rsid w:val="0083550C"/>
    <w:rsid w:val="00860EA9"/>
    <w:rsid w:val="008763FC"/>
    <w:rsid w:val="0089358B"/>
    <w:rsid w:val="008B0658"/>
    <w:rsid w:val="008B339C"/>
    <w:rsid w:val="00901D45"/>
    <w:rsid w:val="009136CA"/>
    <w:rsid w:val="009217E4"/>
    <w:rsid w:val="0092584C"/>
    <w:rsid w:val="009306AA"/>
    <w:rsid w:val="00940D9C"/>
    <w:rsid w:val="00942692"/>
    <w:rsid w:val="00943246"/>
    <w:rsid w:val="009472C7"/>
    <w:rsid w:val="00975FA8"/>
    <w:rsid w:val="00976EBA"/>
    <w:rsid w:val="009816D3"/>
    <w:rsid w:val="009B174C"/>
    <w:rsid w:val="009B4E5C"/>
    <w:rsid w:val="009C6F3D"/>
    <w:rsid w:val="009D47A3"/>
    <w:rsid w:val="009D5B5A"/>
    <w:rsid w:val="009D63E4"/>
    <w:rsid w:val="009D7016"/>
    <w:rsid w:val="009E06C5"/>
    <w:rsid w:val="009E1806"/>
    <w:rsid w:val="009E3BBB"/>
    <w:rsid w:val="009F0B56"/>
    <w:rsid w:val="00A13B2C"/>
    <w:rsid w:val="00A24626"/>
    <w:rsid w:val="00A37618"/>
    <w:rsid w:val="00A46406"/>
    <w:rsid w:val="00A5020B"/>
    <w:rsid w:val="00A512E0"/>
    <w:rsid w:val="00A56EC8"/>
    <w:rsid w:val="00A751E2"/>
    <w:rsid w:val="00A86363"/>
    <w:rsid w:val="00A92DF5"/>
    <w:rsid w:val="00A977AB"/>
    <w:rsid w:val="00AA05F1"/>
    <w:rsid w:val="00AB7B86"/>
    <w:rsid w:val="00AC4D40"/>
    <w:rsid w:val="00AD2C0D"/>
    <w:rsid w:val="00AE76A3"/>
    <w:rsid w:val="00B03E5C"/>
    <w:rsid w:val="00B23451"/>
    <w:rsid w:val="00B40AC1"/>
    <w:rsid w:val="00B5040B"/>
    <w:rsid w:val="00B64A72"/>
    <w:rsid w:val="00B669E6"/>
    <w:rsid w:val="00B67866"/>
    <w:rsid w:val="00B7102F"/>
    <w:rsid w:val="00BB58BE"/>
    <w:rsid w:val="00BC4252"/>
    <w:rsid w:val="00BC5652"/>
    <w:rsid w:val="00BE3B2D"/>
    <w:rsid w:val="00BE7CC2"/>
    <w:rsid w:val="00BF2373"/>
    <w:rsid w:val="00BF3132"/>
    <w:rsid w:val="00C01D8D"/>
    <w:rsid w:val="00C0211B"/>
    <w:rsid w:val="00C030FA"/>
    <w:rsid w:val="00C34CC3"/>
    <w:rsid w:val="00C416AF"/>
    <w:rsid w:val="00C60B93"/>
    <w:rsid w:val="00C6367E"/>
    <w:rsid w:val="00C66375"/>
    <w:rsid w:val="00C70553"/>
    <w:rsid w:val="00C73888"/>
    <w:rsid w:val="00C8387C"/>
    <w:rsid w:val="00C94DA7"/>
    <w:rsid w:val="00CB3652"/>
    <w:rsid w:val="00CB580C"/>
    <w:rsid w:val="00CB7FDF"/>
    <w:rsid w:val="00CD7CF2"/>
    <w:rsid w:val="00CE0D7C"/>
    <w:rsid w:val="00CE394C"/>
    <w:rsid w:val="00CE7390"/>
    <w:rsid w:val="00D000BE"/>
    <w:rsid w:val="00D06569"/>
    <w:rsid w:val="00D20213"/>
    <w:rsid w:val="00D26895"/>
    <w:rsid w:val="00D27BF8"/>
    <w:rsid w:val="00D31108"/>
    <w:rsid w:val="00D332D6"/>
    <w:rsid w:val="00D472D5"/>
    <w:rsid w:val="00D474D1"/>
    <w:rsid w:val="00D57899"/>
    <w:rsid w:val="00D804C1"/>
    <w:rsid w:val="00D8280E"/>
    <w:rsid w:val="00DA14B8"/>
    <w:rsid w:val="00DA1F3B"/>
    <w:rsid w:val="00DB1976"/>
    <w:rsid w:val="00DD5192"/>
    <w:rsid w:val="00DE6E7E"/>
    <w:rsid w:val="00DF3C82"/>
    <w:rsid w:val="00DF5714"/>
    <w:rsid w:val="00DF7455"/>
    <w:rsid w:val="00E025CB"/>
    <w:rsid w:val="00E03EF7"/>
    <w:rsid w:val="00E04770"/>
    <w:rsid w:val="00E22E9E"/>
    <w:rsid w:val="00E30599"/>
    <w:rsid w:val="00E42927"/>
    <w:rsid w:val="00E506C7"/>
    <w:rsid w:val="00E613B8"/>
    <w:rsid w:val="00E81C5D"/>
    <w:rsid w:val="00E90A7E"/>
    <w:rsid w:val="00EA7929"/>
    <w:rsid w:val="00EB21AE"/>
    <w:rsid w:val="00EB50F7"/>
    <w:rsid w:val="00EB64E8"/>
    <w:rsid w:val="00EC76AF"/>
    <w:rsid w:val="00ED2F50"/>
    <w:rsid w:val="00ED3DF2"/>
    <w:rsid w:val="00ED6BA9"/>
    <w:rsid w:val="00EF7528"/>
    <w:rsid w:val="00F002A5"/>
    <w:rsid w:val="00F05BD1"/>
    <w:rsid w:val="00F13A6B"/>
    <w:rsid w:val="00F147D2"/>
    <w:rsid w:val="00F21BCB"/>
    <w:rsid w:val="00F26CB6"/>
    <w:rsid w:val="00F30797"/>
    <w:rsid w:val="00F337C8"/>
    <w:rsid w:val="00F44DF0"/>
    <w:rsid w:val="00F57EEF"/>
    <w:rsid w:val="00F71AB8"/>
    <w:rsid w:val="00F73B1A"/>
    <w:rsid w:val="00F8156D"/>
    <w:rsid w:val="00FA680E"/>
    <w:rsid w:val="00FA6A28"/>
    <w:rsid w:val="00FB0101"/>
    <w:rsid w:val="00FB4C45"/>
    <w:rsid w:val="00FE4D44"/>
    <w:rsid w:val="00FF6642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3576E7A-6083-4287-8AE0-D0F4C073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F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AA05F1"/>
    <w:rPr>
      <w:sz w:val="27"/>
      <w:szCs w:val="27"/>
    </w:rPr>
  </w:style>
  <w:style w:type="paragraph" w:styleId="Cabealho">
    <w:name w:val="header"/>
    <w:basedOn w:val="Normal"/>
    <w:link w:val="CabealhoChar"/>
    <w:unhideWhenUsed/>
    <w:rsid w:val="008B33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339C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8B33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339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EF7528"/>
    <w:rPr>
      <w:sz w:val="27"/>
      <w:szCs w:val="27"/>
    </w:rPr>
  </w:style>
  <w:style w:type="paragraph" w:customStyle="1" w:styleId="itens">
    <w:name w:val="itens"/>
    <w:basedOn w:val="Normal"/>
    <w:rsid w:val="002858FF"/>
    <w:pPr>
      <w:widowControl w:val="0"/>
      <w:spacing w:before="60"/>
      <w:ind w:left="851" w:hanging="284"/>
    </w:pPr>
    <w:rPr>
      <w:rFonts w:ascii="Arial" w:hAnsi="Arial"/>
      <w:szCs w:val="20"/>
    </w:rPr>
  </w:style>
  <w:style w:type="character" w:styleId="Hyperlink">
    <w:name w:val="Hyperlink"/>
    <w:basedOn w:val="Fontepargpadro"/>
    <w:uiPriority w:val="99"/>
    <w:unhideWhenUsed/>
    <w:rsid w:val="00221B6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030F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94DA7"/>
    <w:rPr>
      <w:b/>
      <w:bCs/>
    </w:rPr>
  </w:style>
  <w:style w:type="paragraph" w:customStyle="1" w:styleId="western">
    <w:name w:val="western"/>
    <w:basedOn w:val="Normal"/>
    <w:rsid w:val="00A751E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2710A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F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">
    <w:name w:val="cabea"/>
    <w:basedOn w:val="Normal"/>
    <w:rsid w:val="00377D6E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377D6E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D57899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D57899"/>
    <w:rPr>
      <w:color w:val="800080"/>
      <w:u w:val="single"/>
    </w:rPr>
  </w:style>
  <w:style w:type="character" w:styleId="nfase">
    <w:name w:val="Emphasis"/>
    <w:basedOn w:val="Fontepargpadro"/>
    <w:uiPriority w:val="20"/>
    <w:qFormat/>
    <w:rsid w:val="00D578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Belo Horizonte,____de_______de_____</vt:lpstr>
    </vt:vector>
  </TitlesOfParts>
  <Company>Secretaria de Est. de Cultura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 Horizonte,____de_______de_____</dc:title>
  <dc:creator>João Marcos Nogueira Pereira (SEC)</dc:creator>
  <cp:lastModifiedBy>João Marcos Nogueira Pereira</cp:lastModifiedBy>
  <cp:revision>2</cp:revision>
  <cp:lastPrinted>2015-08-31T12:23:00Z</cp:lastPrinted>
  <dcterms:created xsi:type="dcterms:W3CDTF">2019-10-02T18:48:00Z</dcterms:created>
  <dcterms:modified xsi:type="dcterms:W3CDTF">2019-10-02T18:48:00Z</dcterms:modified>
</cp:coreProperties>
</file>